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"/>
        <w:gridCol w:w="1740"/>
        <w:gridCol w:w="1725"/>
        <w:gridCol w:w="1740"/>
        <w:gridCol w:w="1725"/>
        <w:gridCol w:w="1740"/>
        <w:gridCol w:w="1740"/>
      </w:tblGrid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0410" w:type="dxa"/>
            <w:gridSpan w:val="6"/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24"/>
                <w:szCs w:val="24"/>
              </w:rPr>
              <w:t>Расчет собственных средств управляющей компании инвестиционных фондов, паевых инвестиционных фондов и негосударственных пенсионных фондов</w:t>
              <w:br/>
              <w:t>
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0410" w:type="dxa"/>
            <w:gridSpan w:val="6"/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0"/>
              <w:jc w:val="center"/>
            </w:pPr>
            <w:r/>
            <w:r>
              <w:rPr>
                <w:rFonts w:ascii="Arial" w:hAnsi="Arial"/>
                <w:b/>
                <w:sz w:val="24"/>
                <w:szCs w:val="24"/>
              </w:rPr>
              <w:t>по состоянию на 31.07.2024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25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25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25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5205" w:type="dxa"/>
            <w:gridSpan w:val="3"/>
            <w:shd w:val="clear" w:color="auto" w:fill="auto"/>
            <w:tcMar>
              <w:right w:w="105" w:type="dxa"/>
            </w:tcMar>
            <w:textDirection w:val="lrTb"/>
            <w:vAlign w:val="center"/>
          </w:tcPr>
          <w:p>
            <w:pPr>
              <w:spacing w:after="0"/>
              <w:ind w:rigth="105"/>
              <w:wordWrap w:val="0"/>
              <w:jc w:val="right"/>
            </w:pPr>
            <w:r/>
            <w:r>
              <w:rPr>
                <w:rFonts w:ascii="Arial" w:hAnsi="Arial"/>
                <w:sz w:val="18"/>
                <w:szCs w:val="18"/>
              </w:rPr>
              <w:t>Код формы по ОКУД 0420514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25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25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3480" w:type="dxa"/>
            <w:gridSpan w:val="2"/>
            <w:shd w:val="clear" w:color="auto" w:fill="auto"/>
            <w:tcMar>
              <w:right w:w="105" w:type="dxa"/>
            </w:tcMar>
            <w:textDirection w:val="lrTb"/>
            <w:vAlign w:val="center"/>
          </w:tcPr>
          <w:p>
            <w:pPr>
              <w:spacing w:after="0"/>
              <w:ind w:rigth="105"/>
              <w:wordWrap w:val="0"/>
              <w:jc w:val="right"/>
            </w:pPr>
            <w:r/>
            <w:r>
              <w:rPr>
                <w:rFonts w:ascii="Arial" w:hAnsi="Arial"/>
                <w:sz w:val="18"/>
                <w:szCs w:val="18"/>
              </w:rPr>
              <w:t>Месячная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25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25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0"/>
              <w:jc w:val="left"/>
            </w:pPr>
            <w:r/>
          </w:p>
        </w:tc>
      </w:tr>
    </w:tbl>
    <w:tbl>
      <w:tblPr>
        <w:tblStyle w:val="TableStyle1"/>
        <w:tblW w:w="10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"/>
        <w:gridCol w:w="5340"/>
        <w:gridCol w:w="5070"/>
      </w:tblGrid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10410" w:type="dxa"/>
            <w:gridSpan w:val="2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  <w:r>
              <w:rPr>
                <w:rFonts w:ascii="Arial" w:hAnsi="Arial"/>
                <w:b/>
                <w:sz w:val="22"/>
                <w:szCs w:val="22"/>
              </w:rPr>
              <w:t>Реквизиты отчитывающейся организации (управляющая компания инвестиционных фондов, паевых инвестиционных фондов и негосударственных пенсионных фондов)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07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</w:tr>
    </w:tbl>
    <w:tbl>
      <w:tblPr>
        <w:tblStyle w:val="TableStyle2"/>
        <w:tblW w:w="10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"/>
        <w:gridCol w:w="2175"/>
        <w:gridCol w:w="1560"/>
        <w:gridCol w:w="1815"/>
        <w:gridCol w:w="1650"/>
        <w:gridCol w:w="1410"/>
        <w:gridCol w:w="1800"/>
      </w:tblGrid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Полное фирменное наименование управляющей компании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Идентификационный номер налогоплательщика (ИНН) управляющей компании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Основной государственный регистрационный номер (ОГРН) управляющей компании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Номер лицензии управляющей компании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Дата предоставления лицензии управляющей компании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Фактический адрес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Общество с ограниченной ответственностью Управляющая компания "ГЕРА"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7737524746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1077761587397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21-000-1-00682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10.12.2009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62027, г.Екатеринбург, ул.Азина, д.22/4, офис 1.4</w:t>
            </w:r>
          </w:p>
        </w:tc>
      </w:tr>
    </w:tbl>
    <w:tbl>
      <w:tblPr>
        <w:tblStyle w:val="TableStyle3"/>
        <w:tblW w:w="10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"/>
        <w:gridCol w:w="5340"/>
        <w:gridCol w:w="5070"/>
      </w:tblGrid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07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10410" w:type="dxa"/>
            <w:gridSpan w:val="2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  <w:r>
              <w:rPr>
                <w:rFonts w:ascii="Arial" w:hAnsi="Arial"/>
                <w:b/>
                <w:sz w:val="22"/>
                <w:szCs w:val="22"/>
              </w:rPr>
              <w:t xml:space="preserve"> Раздел I. Параметры расчета собственных средств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070" w:type="dxa"/>
            <w:shd w:val="clear" w:color="auto" w:fill="auto"/>
            <w:tcMar>
              <w:left w:w="105" w:type="dxa"/>
            </w:tcMar>
            <w:textDirection w:val="lrTb"/>
            <w:vAlign w:val="bottom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</w:p>
        </w:tc>
        <w:tc>
          <w:tcPr>
            <w:tcW w:w="50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8"/>
                <w:szCs w:val="18"/>
              </w:rPr>
              <w:t>Отчетная дата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4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</w:p>
        </w:tc>
        <w:tc>
          <w:tcPr>
            <w:tcW w:w="50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  <w:r>
              <w:rPr>
                <w:rFonts w:ascii="Arial" w:hAnsi="Arial"/>
                <w:sz w:val="18"/>
                <w:szCs w:val="18"/>
              </w:rPr>
              <w:t>Значения показателей</w:t>
            </w:r>
          </w:p>
        </w:tc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8"/>
                <w:szCs w:val="18"/>
              </w:rPr>
              <w:t>31.07.2024</w:t>
            </w:r>
          </w:p>
        </w:tc>
      </w:tr>
    </w:tbl>
    <w:tbl>
      <w:tblPr>
        <w:tblStyle w:val="TableStyle4"/>
        <w:tblW w:w="106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"/>
        <w:gridCol w:w="5325"/>
        <w:gridCol w:w="1740"/>
        <w:gridCol w:w="3360"/>
      </w:tblGrid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25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336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10425" w:type="dxa"/>
            <w:gridSpan w:val="3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  <w:r>
              <w:rPr>
                <w:rFonts w:ascii="Arial" w:hAnsi="Arial"/>
                <w:b/>
                <w:sz w:val="22"/>
                <w:szCs w:val="22"/>
              </w:rPr>
              <w:t>Раздел II. Расчет собственных средств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25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100" w:type="dxa"/>
            <w:gridSpan w:val="2"/>
            <w:shd w:val="clear" w:color="auto" w:fill="auto"/>
            <w:tcMar>
              <w:right w:w="105" w:type="dxa"/>
            </w:tcMar>
            <w:textDirection w:val="lrTb"/>
            <w:vAlign w:val="center"/>
          </w:tcPr>
          <w:p>
            <w:pPr>
              <w:spacing w:after="0"/>
              <w:ind w:rigth="105"/>
              <w:wordWrap w:val="1"/>
              <w:jc w:val="right"/>
            </w:pPr>
            <w:r/>
            <w:r>
              <w:rPr>
                <w:rFonts w:ascii="Arial" w:hAnsi="Arial"/>
                <w:sz w:val="18"/>
                <w:szCs w:val="18"/>
              </w:rPr>
              <w:t>в рублях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25" w:type="dxa"/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</w:p>
        </w:tc>
        <w:tc>
          <w:tcPr>
            <w:tcW w:w="1740" w:type="dxa"/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</w:p>
        </w:tc>
        <w:tc>
          <w:tcPr>
            <w:tcW w:w="336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8"/>
                <w:szCs w:val="18"/>
              </w:rPr>
              <w:t>Код строки</w:t>
            </w:r>
          </w:p>
        </w:tc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8"/>
                <w:szCs w:val="18"/>
              </w:rPr>
              <w:t>Сумма (стоимость, величина) на текущую отчетную дату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10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8"/>
                <w:szCs w:val="18"/>
              </w:rPr>
              <w:t>Активы, принятые к расчету собственных средств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Денежные средства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01</w:t>
            </w:r>
          </w:p>
        </w:tc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47 660 664,87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в том числе: на счетах в кредитных организациях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01.01</w:t>
            </w:r>
          </w:p>
        </w:tc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25 535 427,17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на счетах по депозиту в кредитных организациях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01.02</w:t>
            </w:r>
          </w:p>
        </w:tc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22 125 237,7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Общая стоимость активов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05</w:t>
            </w:r>
          </w:p>
        </w:tc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47 660 664,87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10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Обязательства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Общая величина обязательств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06</w:t>
            </w:r>
          </w:p>
        </w:tc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1 363 796,53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Кредиторская задолженность (кредитор - юридическое лицо)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06.02</w:t>
            </w:r>
          </w:p>
        </w:tc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132 304,35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Обязательства, не указанные в таблицах пунктов 5.1 и 5.2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06.03</w:t>
            </w:r>
          </w:p>
        </w:tc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1 231 492,18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10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Размер собственных средств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Размер собственных средств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07</w:t>
            </w:r>
          </w:p>
        </w:tc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46 296 868,34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10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b/>
                <w:sz w:val="16"/>
                <w:szCs w:val="16"/>
              </w:rPr>
              <w:t>Минимальный размер собственных средств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Минимальный размер собственных средств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08</w:t>
            </w:r>
          </w:p>
        </w:tc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20 532 598,66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09</w:t>
            </w:r>
          </w:p>
        </w:tc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соответствует</w:t>
            </w:r>
          </w:p>
        </w:tc>
      </w:tr>
    </w:tbl>
    <w:tbl>
      <w:tblPr>
        <w:tblStyle w:val="TableStyle5"/>
        <w:tblW w:w="10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"/>
        <w:gridCol w:w="1740"/>
        <w:gridCol w:w="1725"/>
        <w:gridCol w:w="1740"/>
        <w:gridCol w:w="1725"/>
        <w:gridCol w:w="1740"/>
        <w:gridCol w:w="1740"/>
      </w:tblGrid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1725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1725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205" w:type="dxa"/>
            <w:gridSpan w:val="3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  <w:r>
              <w:rPr>
                <w:rFonts w:ascii="Arial" w:hAnsi="Arial"/>
                <w:sz w:val="20"/>
                <w:szCs w:val="20"/>
              </w:rPr>
              <w:t>Фамилия, имя, отчество руководителя управляющей компании (лица, исполняющего обязанности  руководителя управляющей компании), подписывающего отчетность</w:t>
            </w:r>
          </w:p>
        </w:tc>
        <w:tc>
          <w:tcPr>
            <w:tcW w:w="5205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18"/>
                <w:szCs w:val="18"/>
              </w:rPr>
              <w:t>Михеев Антон Валерьевич</w:t>
            </w:r>
          </w:p>
        </w:tc>
      </w:tr>
      <w:tr>
        <w:trPr>
          <w:cantSplit/>
          <w:trHeight w:val="0" w:hRule="auto"/>
        </w:trPr>
        <w:tc>
          <w:tcPr>
            <w:tcW w:w="21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1725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1740" w:type="dxa"/>
            <w:shd w:val="clear" w:color="auto" w:fill="auto"/>
            <w:tcMar>
              <w:left w:w="105" w:type="dxa"/>
            </w:tcMar>
            <w:textDirection w:val="lrTb"/>
            <w:vAlign w:val="center"/>
          </w:tcPr>
          <w:p>
            <w:pPr>
              <w:spacing w:after="0"/>
              <w:ind w:left="105"/>
              <w:wordWrap w:val="1"/>
              <w:jc w:val="left"/>
            </w:pPr>
            <w:r/>
          </w:p>
        </w:tc>
        <w:tc>
          <w:tcPr>
            <w:tcW w:w="5205" w:type="dxa"/>
            <w:gridSpan w:val="3"/>
            <w:tcBorders>
              <w:top w:val="single" w:sz="5" w:space="0" w:color="auto"/>
            </w:tcBorders>
            <w:shd w:val="clear" w:color="auto" w:fill="auto"/>
            <w:tcMar/>
            <w:textDirection w:val="lrTb"/>
            <w:vAlign w:val="center"/>
          </w:tcPr>
          <w:p>
            <w:pPr>
              <w:spacing w:after="0"/>
              <w:ind/>
              <w:wordWrap w:val="1"/>
              <w:jc w:val="center"/>
            </w:pPr>
            <w:r/>
            <w:r>
              <w:rPr>
                <w:rFonts w:ascii="Arial" w:hAnsi="Arial"/>
                <w:sz w:val="20"/>
                <w:szCs w:val="20"/>
              </w:rPr>
              <w:t>(инициалы, фамилия)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